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96" w:rsidRDefault="00593996" w:rsidP="00593996">
      <w:pPr>
        <w:pStyle w:val="Heading1"/>
        <w:spacing w:before="0" w:after="120"/>
      </w:pPr>
      <w:r w:rsidRPr="00506AC7">
        <w:t xml:space="preserve">Service-Learning </w:t>
      </w:r>
      <w:r>
        <w:t>Designation Request Form</w:t>
      </w:r>
    </w:p>
    <w:p w:rsidR="00593996" w:rsidRPr="00E32AAC" w:rsidRDefault="00593996" w:rsidP="00593996">
      <w:pPr>
        <w:spacing w:after="120"/>
        <w:rPr>
          <w:rFonts w:ascii="Trebuchet MS" w:hAnsi="Trebuchet MS"/>
          <w:i/>
          <w:sz w:val="20"/>
          <w:szCs w:val="20"/>
        </w:rPr>
      </w:pPr>
      <w:r w:rsidRPr="00E32AAC">
        <w:rPr>
          <w:rFonts w:ascii="Trebuchet MS" w:hAnsi="Trebuchet MS"/>
          <w:i/>
          <w:sz w:val="20"/>
          <w:szCs w:val="20"/>
        </w:rPr>
        <w:t>Pl</w:t>
      </w:r>
      <w:r>
        <w:rPr>
          <w:rFonts w:ascii="Trebuchet MS" w:hAnsi="Trebuchet MS"/>
          <w:i/>
          <w:sz w:val="20"/>
          <w:szCs w:val="20"/>
        </w:rPr>
        <w:t>ease upload attachments</w:t>
      </w:r>
      <w:r w:rsidRPr="00E32AAC">
        <w:rPr>
          <w:rFonts w:ascii="Trebuchet MS" w:hAnsi="Trebuchet MS"/>
          <w:i/>
          <w:sz w:val="20"/>
          <w:szCs w:val="20"/>
        </w:rPr>
        <w:t xml:space="preserve"> to the appropriate Course Request Form in the Course and Program Entry and Approval System (curriculum.osu.edu).</w:t>
      </w:r>
    </w:p>
    <w:p w:rsidR="00593996" w:rsidRPr="00CB0874" w:rsidRDefault="00593996" w:rsidP="00593996">
      <w:pPr>
        <w:spacing w:after="120"/>
        <w:rPr>
          <w:rFonts w:ascii="Trebuchet MS" w:hAnsi="Trebuchet MS"/>
          <w:sz w:val="18"/>
          <w:szCs w:val="18"/>
        </w:rPr>
      </w:pPr>
    </w:p>
    <w:p w:rsidR="00593996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1. Has this class previously received an S-Designation?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7C0DBD">
        <w:rPr>
          <w:rFonts w:ascii="Trebuchet MS" w:hAnsi="Trebuchet MS"/>
          <w:b/>
        </w:rPr>
        <w:t>Yes</w:t>
      </w:r>
      <w:r w:rsidRPr="007C0DBD">
        <w:rPr>
          <w:rFonts w:ascii="Trebuchet MS" w:hAnsi="Trebuchet MS"/>
          <w:b/>
        </w:rPr>
        <w:tab/>
      </w:r>
      <w:r w:rsidRPr="007C0DBD">
        <w:rPr>
          <w:rFonts w:ascii="Trebuchet MS" w:hAnsi="Trebuchet MS"/>
          <w:b/>
        </w:rPr>
        <w:tab/>
        <w:t>No</w:t>
      </w:r>
    </w:p>
    <w:p w:rsidR="00593996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2. Is this class always taught with a service-learning component?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7C0DBD">
        <w:rPr>
          <w:rFonts w:ascii="Trebuchet MS" w:hAnsi="Trebuchet MS"/>
          <w:b/>
        </w:rPr>
        <w:t>Yes</w:t>
      </w:r>
      <w:r w:rsidRPr="007C0DBD">
        <w:rPr>
          <w:rFonts w:ascii="Trebuchet MS" w:hAnsi="Trebuchet MS"/>
          <w:b/>
        </w:rPr>
        <w:tab/>
      </w:r>
      <w:r w:rsidRPr="007C0DBD">
        <w:rPr>
          <w:rFonts w:ascii="Trebuchet MS" w:hAnsi="Trebuchet MS"/>
          <w:b/>
        </w:rPr>
        <w:tab/>
        <w:t>No</w:t>
      </w:r>
    </w:p>
    <w:p w:rsidR="00593996" w:rsidRPr="00CB0874" w:rsidRDefault="00593996" w:rsidP="00593996">
      <w:pPr>
        <w:spacing w:after="120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(I</w:t>
      </w:r>
      <w:r w:rsidRPr="007C0DBD">
        <w:rPr>
          <w:rFonts w:ascii="Trebuchet MS" w:hAnsi="Trebuchet MS"/>
          <w:i/>
          <w:sz w:val="20"/>
          <w:szCs w:val="20"/>
        </w:rPr>
        <w:t>f no, please provide details)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 w:rsidRPr="00E92B70">
        <w:rPr>
          <w:rFonts w:ascii="Trebuchet MS" w:hAnsi="Trebuchet MS"/>
          <w:sz w:val="20"/>
          <w:szCs w:val="20"/>
        </w:rPr>
        <w:t xml:space="preserve"> </w:t>
      </w:r>
      <w:r w:rsidRPr="00CA5B81">
        <w:rPr>
          <w:rFonts w:ascii="Trebuchet MS" w:hAnsi="Trebuchet MS"/>
        </w:rPr>
        <w:t xml:space="preserve">An effective service-learning course should include the following core premises: 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Connection to academic learning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Analysis of connection between academic content and service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Mutual benefit for all involved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Student preparation and support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Plan for evaluation</w:t>
      </w:r>
    </w:p>
    <w:p w:rsidR="00593996" w:rsidRPr="00CA5B81" w:rsidRDefault="00593996" w:rsidP="00593996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Plan for sustainability</w:t>
      </w:r>
    </w:p>
    <w:p w:rsidR="00593996" w:rsidRDefault="00593996" w:rsidP="00593996">
      <w:pPr>
        <w:spacing w:after="120"/>
        <w:rPr>
          <w:rFonts w:ascii="Trebuchet MS" w:hAnsi="Trebuchet MS"/>
          <w:b/>
        </w:rPr>
      </w:pPr>
    </w:p>
    <w:p w:rsidR="00593996" w:rsidRPr="00271DC9" w:rsidRDefault="00593996" w:rsidP="00593996">
      <w:pPr>
        <w:spacing w:after="120"/>
        <w:rPr>
          <w:rFonts w:ascii="Trebuchet MS" w:hAnsi="Trebuchet MS"/>
          <w:b/>
        </w:rPr>
      </w:pPr>
      <w:r w:rsidRPr="00271DC9">
        <w:rPr>
          <w:rFonts w:ascii="Trebuchet MS" w:hAnsi="Trebuchet MS"/>
          <w:b/>
        </w:rPr>
        <w:t>CO</w:t>
      </w:r>
      <w:r>
        <w:rPr>
          <w:rFonts w:ascii="Trebuchet MS" w:hAnsi="Trebuchet MS"/>
          <w:b/>
        </w:rPr>
        <w:t>URSE CONTENT/PLANNING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CA5B81">
        <w:rPr>
          <w:rFonts w:ascii="Trebuchet MS" w:hAnsi="Trebuchet MS"/>
        </w:rPr>
        <w:t>. Please describe the planned service activities to be performed by students in this course.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Pr="00CA5B81">
        <w:rPr>
          <w:rFonts w:ascii="Trebuchet MS" w:hAnsi="Trebuchet MS"/>
        </w:rPr>
        <w:t>. Please describe how the planned service activities reflect priorities and stated goals/ne</w:t>
      </w:r>
      <w:r>
        <w:rPr>
          <w:rFonts w:ascii="Trebuchet MS" w:hAnsi="Trebuchet MS"/>
        </w:rPr>
        <w:t>eds of the community partner(s).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Pr="00CA5B81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Service-l</w:t>
      </w:r>
      <w:r w:rsidRPr="00CA5B81">
        <w:rPr>
          <w:rFonts w:ascii="Trebuchet MS" w:hAnsi="Trebuchet MS"/>
        </w:rPr>
        <w:t>earning activities are all based on an agreement between three parties</w:t>
      </w:r>
      <w:r>
        <w:rPr>
          <w:rFonts w:ascii="Trebuchet MS" w:hAnsi="Trebuchet MS"/>
        </w:rPr>
        <w:t>,</w:t>
      </w:r>
      <w:r w:rsidRPr="00CA5B81">
        <w:rPr>
          <w:rFonts w:ascii="Trebuchet MS" w:hAnsi="Trebuchet MS"/>
        </w:rPr>
        <w:t xml:space="preserve"> each of whom has specific goals/expectations/responsibilities that are necessary to make it an effective service-learning experience.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 w:rsidRPr="00CA5B81">
        <w:rPr>
          <w:rFonts w:ascii="Trebuchet MS" w:hAnsi="Trebuchet MS"/>
        </w:rPr>
        <w:t>Please describe goals/expectations/responsibilities for:</w:t>
      </w:r>
    </w:p>
    <w:p w:rsidR="00593996" w:rsidRDefault="00593996" w:rsidP="00593996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667A15">
        <w:rPr>
          <w:rFonts w:ascii="Trebuchet MS" w:hAnsi="Trebuchet MS"/>
        </w:rPr>
        <w:t>Faculty</w:t>
      </w:r>
    </w:p>
    <w:p w:rsidR="00593996" w:rsidRPr="00667A15" w:rsidRDefault="00593996" w:rsidP="00593996">
      <w:pPr>
        <w:pStyle w:val="ListParagraph"/>
        <w:spacing w:after="120"/>
        <w:rPr>
          <w:rFonts w:ascii="Trebuchet MS" w:hAnsi="Trebuchet MS"/>
        </w:rPr>
      </w:pPr>
    </w:p>
    <w:p w:rsidR="00593996" w:rsidRPr="008010D6" w:rsidRDefault="00593996" w:rsidP="00593996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667A15">
        <w:rPr>
          <w:rFonts w:ascii="Trebuchet MS" w:hAnsi="Trebuchet MS"/>
        </w:rPr>
        <w:t>Students</w:t>
      </w:r>
    </w:p>
    <w:p w:rsidR="00593996" w:rsidRDefault="00593996" w:rsidP="00593996">
      <w:pPr>
        <w:pStyle w:val="ListParagraph"/>
        <w:spacing w:after="120"/>
        <w:rPr>
          <w:rFonts w:ascii="Trebuchet MS" w:hAnsi="Trebuchet MS"/>
        </w:rPr>
      </w:pPr>
    </w:p>
    <w:p w:rsidR="00593996" w:rsidRPr="00667A15" w:rsidRDefault="00593996" w:rsidP="00593996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667A15">
        <w:rPr>
          <w:rFonts w:ascii="Trebuchet MS" w:hAnsi="Trebuchet MS"/>
        </w:rPr>
        <w:t>The community partner(s)</w:t>
      </w:r>
    </w:p>
    <w:p w:rsidR="00593996" w:rsidRDefault="00593996" w:rsidP="00593996">
      <w:pPr>
        <w:spacing w:after="120"/>
        <w:rPr>
          <w:rFonts w:ascii="Trebuchet MS" w:hAnsi="Trebuchet MS"/>
        </w:rPr>
      </w:pPr>
    </w:p>
    <w:p w:rsidR="00593996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6. Please describe your </w:t>
      </w:r>
      <w:r w:rsidRPr="00425770">
        <w:rPr>
          <w:rFonts w:ascii="Trebuchet MS" w:hAnsi="Trebuchet MS"/>
        </w:rPr>
        <w:t>plans for sustainability and depar</w:t>
      </w:r>
      <w:r>
        <w:rPr>
          <w:rFonts w:ascii="Trebuchet MS" w:hAnsi="Trebuchet MS"/>
        </w:rPr>
        <w:t xml:space="preserve">tmental support for offering this </w:t>
      </w:r>
      <w:r w:rsidRPr="00425770">
        <w:rPr>
          <w:rFonts w:ascii="Trebuchet MS" w:hAnsi="Trebuchet MS"/>
        </w:rPr>
        <w:t>service-learning course on a continuing basis.</w:t>
      </w:r>
    </w:p>
    <w:p w:rsidR="00593996" w:rsidRDefault="00593996" w:rsidP="00593996">
      <w:pPr>
        <w:spacing w:after="120"/>
        <w:rPr>
          <w:rFonts w:ascii="Trebuchet MS" w:hAnsi="Trebuchet MS"/>
          <w:b/>
        </w:rPr>
      </w:pPr>
    </w:p>
    <w:p w:rsidR="00593996" w:rsidRPr="00271DC9" w:rsidRDefault="00593996" w:rsidP="00593996">
      <w:pPr>
        <w:spacing w:after="1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COURSE </w:t>
      </w:r>
      <w:r w:rsidRPr="00271DC9">
        <w:rPr>
          <w:rFonts w:ascii="Trebuchet MS" w:hAnsi="Trebuchet MS"/>
          <w:b/>
        </w:rPr>
        <w:t>GOALS</w:t>
      </w:r>
    </w:p>
    <w:p w:rsidR="00593996" w:rsidRPr="00CA5B81" w:rsidRDefault="00593996" w:rsidP="00593996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7.  </w:t>
      </w:r>
      <w:r w:rsidRPr="00CA5B81">
        <w:rPr>
          <w:rFonts w:ascii="Trebuchet MS" w:hAnsi="Trebuchet MS"/>
        </w:rPr>
        <w:t>How does the service activity connect with the academic content of the course and how is this content in turn enhanced by the service component of the course?</w:t>
      </w:r>
    </w:p>
    <w:p w:rsidR="00593996" w:rsidRDefault="00593996" w:rsidP="00593996">
      <w:pPr>
        <w:spacing w:after="120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Service-</w:t>
      </w:r>
      <w:r w:rsidRPr="00CB0874">
        <w:rPr>
          <w:rFonts w:asciiTheme="majorHAnsi" w:hAnsiTheme="majorHAnsi"/>
          <w:b/>
          <w:color w:val="365F91" w:themeColor="accent1" w:themeShade="BF"/>
          <w:sz w:val="24"/>
          <w:szCs w:val="24"/>
        </w:rPr>
        <w:t>Learning GE-specific questions</w:t>
      </w:r>
    </w:p>
    <w:p w:rsidR="00593996" w:rsidRPr="00E32AAC" w:rsidRDefault="00593996" w:rsidP="00593996">
      <w:pPr>
        <w:pStyle w:val="Default"/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>Courses proposed for the Service-Learning</w:t>
      </w:r>
      <w:r w:rsidRPr="00E32AAC">
        <w:rPr>
          <w:rFonts w:ascii="Trebuchet MS" w:hAnsi="Trebuchet MS"/>
          <w:i/>
          <w:iCs/>
          <w:sz w:val="20"/>
          <w:szCs w:val="20"/>
        </w:rPr>
        <w:t xml:space="preserve"> component of the General Education (G</w:t>
      </w:r>
      <w:r>
        <w:rPr>
          <w:rFonts w:ascii="Trebuchet MS" w:hAnsi="Trebuchet MS"/>
          <w:i/>
          <w:iCs/>
          <w:sz w:val="20"/>
          <w:szCs w:val="20"/>
        </w:rPr>
        <w:t>E) should be designed with the following</w:t>
      </w:r>
      <w:r w:rsidRPr="00E32AAC">
        <w:rPr>
          <w:rFonts w:ascii="Trebuchet MS" w:hAnsi="Trebuchet MS"/>
          <w:i/>
          <w:iCs/>
          <w:sz w:val="20"/>
          <w:szCs w:val="20"/>
        </w:rPr>
        <w:t xml:space="preserve"> goals and expected learning outcomes</w:t>
      </w:r>
      <w:r>
        <w:rPr>
          <w:rFonts w:ascii="Trebuchet MS" w:hAnsi="Trebuchet MS"/>
          <w:i/>
          <w:iCs/>
          <w:sz w:val="20"/>
          <w:szCs w:val="20"/>
        </w:rPr>
        <w:t xml:space="preserve"> (ELOs)</w:t>
      </w:r>
      <w:r w:rsidRPr="00E32AAC">
        <w:rPr>
          <w:rFonts w:ascii="Trebuchet MS" w:hAnsi="Trebuchet MS"/>
          <w:i/>
          <w:iCs/>
          <w:sz w:val="20"/>
          <w:szCs w:val="20"/>
        </w:rPr>
        <w:t xml:space="preserve"> in mind and considered in terms of their contribution to the requirement as a whole. Courses will be reviewed by the </w:t>
      </w:r>
      <w:r>
        <w:rPr>
          <w:rFonts w:ascii="Trebuchet MS" w:hAnsi="Trebuchet MS"/>
          <w:i/>
          <w:iCs/>
          <w:sz w:val="20"/>
          <w:szCs w:val="20"/>
        </w:rPr>
        <w:t xml:space="preserve">Arts and Sciences Curriculum </w:t>
      </w:r>
      <w:r w:rsidRPr="00E32AAC">
        <w:rPr>
          <w:rFonts w:ascii="Trebuchet MS" w:hAnsi="Trebuchet MS"/>
          <w:i/>
          <w:iCs/>
          <w:sz w:val="20"/>
          <w:szCs w:val="20"/>
        </w:rPr>
        <w:t>C</w:t>
      </w:r>
      <w:r>
        <w:rPr>
          <w:rFonts w:ascii="Trebuchet MS" w:hAnsi="Trebuchet MS"/>
          <w:i/>
          <w:iCs/>
          <w:sz w:val="20"/>
          <w:szCs w:val="20"/>
        </w:rPr>
        <w:t>ommittee (ASCC)</w:t>
      </w:r>
      <w:r w:rsidRPr="00E32AAC">
        <w:rPr>
          <w:rFonts w:ascii="Trebuchet MS" w:hAnsi="Trebuchet MS"/>
          <w:i/>
          <w:iCs/>
          <w:sz w:val="20"/>
          <w:szCs w:val="20"/>
        </w:rPr>
        <w:t xml:space="preserve"> in light of these goals and expected learning outcomes.  All GE courses should be made available to undergraduates with a minimum of prerequisites and not be restricted to majors. </w:t>
      </w:r>
    </w:p>
    <w:p w:rsidR="00593996" w:rsidRPr="00F65D61" w:rsidRDefault="00593996" w:rsidP="00593996">
      <w:pPr>
        <w:pStyle w:val="Default"/>
        <w:spacing w:after="120" w:line="360" w:lineRule="auto"/>
        <w:contextualSpacing/>
        <w:rPr>
          <w:rFonts w:ascii="Trebuchet MS" w:hAnsi="Trebuchet MS"/>
          <w:sz w:val="22"/>
          <w:szCs w:val="22"/>
        </w:rPr>
      </w:pPr>
      <w:r w:rsidRPr="00F65D61">
        <w:rPr>
          <w:rFonts w:ascii="Trebuchet MS" w:hAnsi="Trebuchet MS"/>
          <w:b/>
          <w:bCs/>
          <w:sz w:val="22"/>
          <w:szCs w:val="22"/>
        </w:rPr>
        <w:t xml:space="preserve">Goals: </w:t>
      </w:r>
    </w:p>
    <w:p w:rsidR="00593996" w:rsidRPr="00F65D61" w:rsidRDefault="00593996" w:rsidP="00593996">
      <w:pPr>
        <w:tabs>
          <w:tab w:val="left" w:pos="8685"/>
        </w:tabs>
        <w:autoSpaceDE w:val="0"/>
        <w:autoSpaceDN w:val="0"/>
        <w:spacing w:after="120" w:line="360" w:lineRule="auto"/>
        <w:contextualSpacing/>
        <w:rPr>
          <w:rFonts w:ascii="Trebuchet MS" w:hAnsi="Trebuchet MS"/>
        </w:rPr>
      </w:pPr>
      <w:r w:rsidRPr="00F65D61">
        <w:rPr>
          <w:rFonts w:ascii="Trebuchet MS" w:hAnsi="Trebuchet MS"/>
        </w:rPr>
        <w:t>Students gain and apply academic knowledge through civic engagement with communities.</w:t>
      </w:r>
      <w:r w:rsidRPr="00F65D61">
        <w:rPr>
          <w:rFonts w:ascii="Trebuchet MS" w:hAnsi="Trebuchet MS"/>
        </w:rPr>
        <w:tab/>
      </w:r>
    </w:p>
    <w:p w:rsidR="00593996" w:rsidRPr="00F65D61" w:rsidRDefault="00593996" w:rsidP="00593996">
      <w:pPr>
        <w:pStyle w:val="Default"/>
        <w:spacing w:after="120" w:line="360" w:lineRule="auto"/>
        <w:contextualSpacing/>
        <w:rPr>
          <w:rFonts w:ascii="Trebuchet MS" w:hAnsi="Trebuchet MS"/>
          <w:sz w:val="22"/>
          <w:szCs w:val="22"/>
        </w:rPr>
      </w:pPr>
      <w:r w:rsidRPr="00F65D61">
        <w:rPr>
          <w:rFonts w:ascii="Trebuchet MS" w:hAnsi="Trebuchet MS"/>
          <w:b/>
          <w:bCs/>
          <w:sz w:val="22"/>
          <w:szCs w:val="22"/>
        </w:rPr>
        <w:t xml:space="preserve">Expected Learning Outcomes: </w:t>
      </w:r>
    </w:p>
    <w:p w:rsidR="00593996" w:rsidRPr="00F65D61" w:rsidRDefault="00593996" w:rsidP="00593996">
      <w:pPr>
        <w:numPr>
          <w:ilvl w:val="0"/>
          <w:numId w:val="4"/>
        </w:numPr>
        <w:autoSpaceDE w:val="0"/>
        <w:autoSpaceDN w:val="0"/>
        <w:spacing w:after="120" w:line="360" w:lineRule="auto"/>
        <w:contextualSpacing/>
        <w:rPr>
          <w:rFonts w:ascii="Trebuchet MS" w:hAnsi="Trebuchet MS"/>
        </w:rPr>
      </w:pPr>
      <w:r w:rsidRPr="00F65D61">
        <w:rPr>
          <w:rFonts w:ascii="Trebuchet MS" w:hAnsi="Trebuchet MS"/>
        </w:rPr>
        <w:t xml:space="preserve">Students make connections between concepts and skills learned in an academic setting and community-based work. </w:t>
      </w:r>
    </w:p>
    <w:p w:rsidR="00593996" w:rsidRPr="00F65D61" w:rsidRDefault="00593996" w:rsidP="00593996">
      <w:pPr>
        <w:numPr>
          <w:ilvl w:val="0"/>
          <w:numId w:val="4"/>
        </w:numPr>
        <w:spacing w:after="120" w:line="360" w:lineRule="auto"/>
        <w:contextualSpacing/>
        <w:rPr>
          <w:rFonts w:ascii="Trebuchet MS" w:hAnsi="Trebuchet MS"/>
        </w:rPr>
      </w:pPr>
      <w:r w:rsidRPr="00F65D61">
        <w:rPr>
          <w:rFonts w:ascii="Trebuchet MS" w:hAnsi="Trebuchet MS"/>
        </w:rPr>
        <w:t>Students demonstrate an understanding of the issues, resources, assets, and cultures of the community in which they are working.</w:t>
      </w:r>
    </w:p>
    <w:p w:rsidR="00593996" w:rsidRPr="00F65D61" w:rsidRDefault="00593996" w:rsidP="00593996">
      <w:pPr>
        <w:numPr>
          <w:ilvl w:val="0"/>
          <w:numId w:val="4"/>
        </w:numPr>
        <w:spacing w:after="120" w:line="360" w:lineRule="auto"/>
        <w:contextualSpacing/>
        <w:rPr>
          <w:rFonts w:ascii="Trebuchet MS" w:hAnsi="Trebuchet MS"/>
        </w:rPr>
      </w:pPr>
      <w:r w:rsidRPr="00F65D61">
        <w:rPr>
          <w:rFonts w:ascii="Trebuchet MS" w:hAnsi="Trebuchet MS"/>
        </w:rPr>
        <w:t>Students eval</w:t>
      </w:r>
      <w:r>
        <w:rPr>
          <w:rFonts w:ascii="Trebuchet MS" w:hAnsi="Trebuchet MS"/>
        </w:rPr>
        <w:t>uate the impacts of the service-</w:t>
      </w:r>
      <w:r w:rsidRPr="00F65D61">
        <w:rPr>
          <w:rFonts w:ascii="Trebuchet MS" w:hAnsi="Trebuchet MS"/>
        </w:rPr>
        <w:t xml:space="preserve">learning activity. </w:t>
      </w:r>
    </w:p>
    <w:p w:rsidR="00593996" w:rsidRDefault="00593996" w:rsidP="00593996">
      <w:pPr>
        <w:pStyle w:val="Default"/>
        <w:rPr>
          <w:rFonts w:ascii="Trebuchet MS" w:hAnsi="Trebuchet MS"/>
          <w:b/>
          <w:color w:val="auto"/>
          <w:sz w:val="22"/>
          <w:szCs w:val="22"/>
        </w:rPr>
      </w:pPr>
    </w:p>
    <w:p w:rsidR="00593996" w:rsidRPr="00FF2334" w:rsidRDefault="00593996" w:rsidP="00593996">
      <w:pPr>
        <w:pStyle w:val="Default"/>
        <w:spacing w:after="120"/>
        <w:rPr>
          <w:rFonts w:ascii="Trebuchet MS" w:hAnsi="Trebuchet MS"/>
          <w:b/>
          <w:color w:val="auto"/>
          <w:sz w:val="22"/>
          <w:szCs w:val="22"/>
        </w:rPr>
      </w:pPr>
      <w:r w:rsidRPr="00FF2334">
        <w:rPr>
          <w:rFonts w:ascii="Trebuchet MS" w:hAnsi="Trebuchet MS"/>
          <w:b/>
          <w:color w:val="auto"/>
          <w:sz w:val="22"/>
          <w:szCs w:val="22"/>
        </w:rPr>
        <w:t>Please include the following</w:t>
      </w:r>
      <w:r>
        <w:rPr>
          <w:rFonts w:ascii="Trebuchet MS" w:hAnsi="Trebuchet MS"/>
          <w:b/>
          <w:color w:val="auto"/>
          <w:sz w:val="22"/>
          <w:szCs w:val="22"/>
        </w:rPr>
        <w:t xml:space="preserve"> documents</w:t>
      </w:r>
      <w:r w:rsidRPr="00FF2334">
        <w:rPr>
          <w:rFonts w:ascii="Trebuchet MS" w:hAnsi="Trebuchet MS"/>
          <w:b/>
          <w:color w:val="auto"/>
          <w:sz w:val="22"/>
          <w:szCs w:val="22"/>
        </w:rPr>
        <w:t xml:space="preserve">: </w:t>
      </w:r>
    </w:p>
    <w:p w:rsidR="00792525" w:rsidRPr="00836721" w:rsidRDefault="00792525" w:rsidP="00792525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36721">
        <w:rPr>
          <w:rFonts w:ascii="Trebuchet MS" w:hAnsi="Trebuchet MS"/>
        </w:rPr>
        <w:t xml:space="preserve">The appropriate Course Request Form via the Course and Program Entry and Approval System (curriculum.osu.edu) </w:t>
      </w:r>
    </w:p>
    <w:p w:rsidR="00593996" w:rsidRDefault="00593996" w:rsidP="00593996">
      <w:pPr>
        <w:pStyle w:val="Default"/>
        <w:numPr>
          <w:ilvl w:val="0"/>
          <w:numId w:val="5"/>
        </w:numPr>
        <w:spacing w:after="120" w:line="360" w:lineRule="auto"/>
        <w:rPr>
          <w:rFonts w:ascii="Trebuchet MS" w:hAnsi="Trebuchet MS"/>
          <w:sz w:val="22"/>
          <w:szCs w:val="22"/>
        </w:rPr>
      </w:pPr>
      <w:r w:rsidRPr="00FF2334">
        <w:rPr>
          <w:rFonts w:ascii="Trebuchet MS" w:hAnsi="Trebuchet MS"/>
          <w:sz w:val="22"/>
          <w:szCs w:val="22"/>
        </w:rPr>
        <w:t xml:space="preserve">A course </w:t>
      </w:r>
      <w:r w:rsidRPr="00FF2334">
        <w:rPr>
          <w:rFonts w:ascii="Trebuchet MS" w:hAnsi="Trebuchet MS"/>
          <w:sz w:val="22"/>
          <w:szCs w:val="22"/>
          <w:u w:val="single"/>
        </w:rPr>
        <w:t>syllabus</w:t>
      </w:r>
      <w:r w:rsidRPr="00FF2334">
        <w:rPr>
          <w:rFonts w:ascii="Trebuchet MS" w:hAnsi="Trebuchet MS"/>
          <w:sz w:val="22"/>
          <w:szCs w:val="22"/>
        </w:rPr>
        <w:t xml:space="preserve"> that follows the ASC syllabus template guidelines.</w:t>
      </w:r>
    </w:p>
    <w:p w:rsidR="00593996" w:rsidRDefault="00593996" w:rsidP="00593996">
      <w:pPr>
        <w:pStyle w:val="Default"/>
        <w:numPr>
          <w:ilvl w:val="0"/>
          <w:numId w:val="5"/>
        </w:numPr>
        <w:spacing w:after="120" w:line="360" w:lineRule="auto"/>
        <w:rPr>
          <w:b/>
        </w:rPr>
      </w:pPr>
      <w:r w:rsidRPr="00B45D32">
        <w:rPr>
          <w:rFonts w:ascii="Trebuchet MS" w:hAnsi="Trebuchet MS"/>
          <w:sz w:val="22"/>
          <w:szCs w:val="22"/>
        </w:rPr>
        <w:t xml:space="preserve">A </w:t>
      </w:r>
      <w:r w:rsidRPr="00B45D32">
        <w:rPr>
          <w:rFonts w:ascii="Trebuchet MS" w:hAnsi="Trebuchet MS"/>
          <w:sz w:val="22"/>
          <w:szCs w:val="22"/>
          <w:u w:val="single"/>
        </w:rPr>
        <w:t>GE rationale</w:t>
      </w:r>
      <w:r w:rsidRPr="00B45D32">
        <w:rPr>
          <w:rFonts w:ascii="Trebuchet MS" w:hAnsi="Trebuchet MS"/>
          <w:sz w:val="22"/>
          <w:szCs w:val="22"/>
        </w:rPr>
        <w:t xml:space="preserve"> that answers specifically the following questions:   </w:t>
      </w:r>
    </w:p>
    <w:p w:rsidR="00593996" w:rsidRPr="00D055F9" w:rsidRDefault="00593996" w:rsidP="00593996">
      <w:pPr>
        <w:pStyle w:val="ListParagraph"/>
        <w:numPr>
          <w:ilvl w:val="0"/>
          <w:numId w:val="2"/>
        </w:numPr>
        <w:ind w:left="1080"/>
        <w:rPr>
          <w:rFonts w:ascii="Trebuchet MS" w:hAnsi="Trebuchet MS"/>
        </w:rPr>
      </w:pPr>
      <w:r w:rsidRPr="00667A15">
        <w:rPr>
          <w:rFonts w:ascii="Trebuchet MS" w:hAnsi="Trebuchet MS"/>
        </w:rPr>
        <w:t>What processes are in place to allow students to reflect on and make connections between concepts and skills learned in an academic setting and community-based work</w:t>
      </w:r>
      <w:r>
        <w:rPr>
          <w:rFonts w:ascii="Trebuchet MS" w:hAnsi="Trebuchet MS"/>
        </w:rPr>
        <w:t>?</w:t>
      </w:r>
    </w:p>
    <w:p w:rsidR="00593996" w:rsidRDefault="00593996" w:rsidP="00593996">
      <w:pPr>
        <w:pStyle w:val="ListParagraph"/>
        <w:ind w:left="1080"/>
        <w:rPr>
          <w:rFonts w:ascii="Trebuchet MS" w:hAnsi="Trebuchet MS"/>
        </w:rPr>
      </w:pPr>
    </w:p>
    <w:p w:rsidR="00593996" w:rsidRPr="00667A15" w:rsidRDefault="00593996" w:rsidP="00593996">
      <w:pPr>
        <w:pStyle w:val="ListParagraph"/>
        <w:numPr>
          <w:ilvl w:val="0"/>
          <w:numId w:val="2"/>
        </w:numPr>
        <w:ind w:left="1080"/>
        <w:rPr>
          <w:rFonts w:ascii="Trebuchet MS" w:hAnsi="Trebuchet MS"/>
        </w:rPr>
      </w:pPr>
      <w:r w:rsidRPr="00667A15">
        <w:rPr>
          <w:rFonts w:ascii="Trebuchet MS" w:hAnsi="Trebuchet MS"/>
        </w:rPr>
        <w:t>What aspects of the course insure that the students learn about the issues, resources, assets, and cultures of the comm</w:t>
      </w:r>
      <w:r>
        <w:rPr>
          <w:rFonts w:ascii="Trebuchet MS" w:hAnsi="Trebuchet MS"/>
        </w:rPr>
        <w:t>unity in which they are working?</w:t>
      </w:r>
    </w:p>
    <w:p w:rsidR="00593996" w:rsidRDefault="00593996" w:rsidP="00593996">
      <w:pPr>
        <w:pStyle w:val="ListParagraph"/>
        <w:ind w:left="1080"/>
        <w:rPr>
          <w:rFonts w:ascii="Trebuchet MS" w:hAnsi="Trebuchet MS"/>
        </w:rPr>
      </w:pPr>
    </w:p>
    <w:p w:rsidR="00593996" w:rsidRPr="008B1299" w:rsidRDefault="00593996" w:rsidP="00593996">
      <w:pPr>
        <w:pStyle w:val="ListParagraph"/>
        <w:numPr>
          <w:ilvl w:val="0"/>
          <w:numId w:val="2"/>
        </w:numPr>
        <w:spacing w:after="120" w:line="360" w:lineRule="auto"/>
        <w:ind w:left="1080"/>
        <w:rPr>
          <w:rFonts w:ascii="Trebuchet MS" w:hAnsi="Trebuchet MS"/>
        </w:rPr>
      </w:pPr>
      <w:r w:rsidRPr="00667A15">
        <w:rPr>
          <w:rFonts w:ascii="Trebuchet MS" w:hAnsi="Trebuchet MS"/>
        </w:rPr>
        <w:t xml:space="preserve">How does the course promote reflection on and evaluation of </w:t>
      </w:r>
      <w:r>
        <w:rPr>
          <w:rFonts w:ascii="Trebuchet MS" w:hAnsi="Trebuchet MS"/>
        </w:rPr>
        <w:t>the impacts of the service-</w:t>
      </w:r>
      <w:r w:rsidRPr="00667A15">
        <w:rPr>
          <w:rFonts w:ascii="Trebuchet MS" w:hAnsi="Trebuchet MS"/>
        </w:rPr>
        <w:t>lea</w:t>
      </w:r>
      <w:r>
        <w:rPr>
          <w:rFonts w:ascii="Trebuchet MS" w:hAnsi="Trebuchet MS"/>
        </w:rPr>
        <w:t>rning activity?</w:t>
      </w:r>
    </w:p>
    <w:p w:rsidR="00000000" w:rsidRDefault="00792525">
      <w:pPr>
        <w:pStyle w:val="Default"/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4.</w:t>
      </w:r>
      <w:r>
        <w:rPr>
          <w:rFonts w:ascii="Trebuchet MS" w:hAnsi="Trebuchet MS"/>
          <w:sz w:val="22"/>
          <w:szCs w:val="22"/>
        </w:rPr>
        <w:tab/>
      </w:r>
      <w:r w:rsidR="00593996" w:rsidRPr="008B1299">
        <w:rPr>
          <w:rFonts w:ascii="Trebuchet MS" w:hAnsi="Trebuchet MS"/>
          <w:sz w:val="22"/>
          <w:szCs w:val="22"/>
        </w:rPr>
        <w:t xml:space="preserve">A </w:t>
      </w:r>
      <w:r w:rsidR="00593996" w:rsidRPr="008B1299">
        <w:rPr>
          <w:rFonts w:ascii="Trebuchet MS" w:hAnsi="Trebuchet MS"/>
          <w:sz w:val="22"/>
          <w:szCs w:val="22"/>
          <w:u w:val="single"/>
        </w:rPr>
        <w:t>GE Assessment Plan</w:t>
      </w:r>
      <w:r w:rsidR="00593996" w:rsidRPr="008B1299">
        <w:rPr>
          <w:rFonts w:ascii="Trebuchet MS" w:hAnsi="Trebuchet MS"/>
          <w:sz w:val="22"/>
          <w:szCs w:val="22"/>
        </w:rPr>
        <w:t xml:space="preserve"> </w:t>
      </w:r>
    </w:p>
    <w:p w:rsidR="00593996" w:rsidRPr="008B1299" w:rsidRDefault="00593996" w:rsidP="00593996">
      <w:pPr>
        <w:pStyle w:val="Default"/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 w:rsidRPr="008B1299">
        <w:rPr>
          <w:rFonts w:ascii="Trebuchet MS" w:hAnsi="Trebuchet MS"/>
          <w:iCs/>
          <w:sz w:val="22"/>
          <w:szCs w:val="22"/>
        </w:rPr>
        <w:t>As a direct measure of assessing how effectively students are m</w:t>
      </w:r>
      <w:r>
        <w:rPr>
          <w:rFonts w:ascii="Trebuchet MS" w:hAnsi="Trebuchet MS"/>
          <w:iCs/>
          <w:sz w:val="22"/>
          <w:szCs w:val="22"/>
        </w:rPr>
        <w:t>eeting the Service-Learning</w:t>
      </w:r>
      <w:r w:rsidRPr="008B1299">
        <w:rPr>
          <w:rFonts w:ascii="Trebuchet MS" w:hAnsi="Trebuchet MS"/>
          <w:iCs/>
          <w:sz w:val="22"/>
          <w:szCs w:val="22"/>
        </w:rPr>
        <w:t xml:space="preserve"> ELOs, instructors are </w:t>
      </w:r>
      <w:r w:rsidRPr="008B1299">
        <w:rPr>
          <w:rFonts w:ascii="Trebuchet MS" w:hAnsi="Trebuchet MS"/>
          <w:b/>
          <w:iCs/>
          <w:sz w:val="22"/>
          <w:szCs w:val="22"/>
        </w:rPr>
        <w:t>required</w:t>
      </w:r>
      <w:r w:rsidRPr="008B1299">
        <w:rPr>
          <w:rFonts w:ascii="Trebuchet MS" w:hAnsi="Trebuchet MS"/>
          <w:iCs/>
          <w:sz w:val="22"/>
          <w:szCs w:val="22"/>
        </w:rPr>
        <w:t xml:space="preserve"> to give students an </w:t>
      </w:r>
      <w:r w:rsidRPr="008B1299">
        <w:rPr>
          <w:rFonts w:ascii="Trebuchet MS" w:hAnsi="Trebuchet MS"/>
          <w:b/>
          <w:iCs/>
          <w:sz w:val="22"/>
          <w:szCs w:val="22"/>
        </w:rPr>
        <w:t>end-of-course assignment</w:t>
      </w:r>
      <w:r w:rsidRPr="008B1299">
        <w:rPr>
          <w:rFonts w:ascii="Trebuchet MS" w:hAnsi="Trebuchet MS"/>
          <w:iCs/>
          <w:sz w:val="22"/>
          <w:szCs w:val="22"/>
        </w:rPr>
        <w:t xml:space="preserve"> that </w:t>
      </w:r>
      <w:r w:rsidR="00B52754">
        <w:rPr>
          <w:rFonts w:ascii="Trebuchet MS" w:hAnsi="Trebuchet MS"/>
          <w:iCs/>
          <w:sz w:val="22"/>
          <w:szCs w:val="22"/>
        </w:rPr>
        <w:t>should</w:t>
      </w:r>
      <w:r w:rsidR="00B52754" w:rsidRPr="008B1299">
        <w:rPr>
          <w:rFonts w:ascii="Trebuchet MS" w:hAnsi="Trebuchet MS"/>
          <w:iCs/>
          <w:sz w:val="22"/>
          <w:szCs w:val="22"/>
        </w:rPr>
        <w:t xml:space="preserve"> </w:t>
      </w:r>
      <w:r w:rsidRPr="008B1299">
        <w:rPr>
          <w:rFonts w:ascii="Trebuchet MS" w:hAnsi="Trebuchet MS"/>
          <w:iCs/>
          <w:sz w:val="22"/>
          <w:szCs w:val="22"/>
        </w:rPr>
        <w:t xml:space="preserve">be scored </w:t>
      </w:r>
      <w:r w:rsidRPr="008B1299">
        <w:rPr>
          <w:rFonts w:ascii="Trebuchet MS" w:hAnsi="Trebuchet MS"/>
          <w:iCs/>
          <w:sz w:val="22"/>
          <w:szCs w:val="22"/>
        </w:rPr>
        <w:lastRenderedPageBreak/>
        <w:t>using the Scoring Rubric provided below.  This assignment can take different forms, including--but not limited to--a student reflection paper or a student video presentation.  (See Appendix below for further details.) The instructor may choose to include this assignment as</w:t>
      </w:r>
      <w:r w:rsidRPr="008B1299">
        <w:rPr>
          <w:rFonts w:ascii="Trebuchet MS" w:hAnsi="Trebuchet MS"/>
          <w:sz w:val="22"/>
          <w:szCs w:val="22"/>
        </w:rPr>
        <w:t xml:space="preserve"> one of the assignments a student completes for his/her final grade. </w:t>
      </w:r>
    </w:p>
    <w:p w:rsidR="00593996" w:rsidRPr="008B1299" w:rsidRDefault="00593996" w:rsidP="00593996">
      <w:pPr>
        <w:pStyle w:val="Default"/>
        <w:spacing w:after="120" w:line="360" w:lineRule="auto"/>
        <w:ind w:left="360"/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 xml:space="preserve">Please explain the end-of course assignment for your course. Also briefly answer the following questions: </w:t>
      </w:r>
      <w:r w:rsidRPr="008B1299">
        <w:rPr>
          <w:rFonts w:ascii="Trebuchet MS" w:hAnsi="Trebuchet MS"/>
          <w:sz w:val="22"/>
          <w:szCs w:val="22"/>
        </w:rPr>
        <w:t>Once you collect the data on student achievement, how will you use it to make course improvements? How will the information be archived and made available to future instructors?</w:t>
      </w:r>
    </w:p>
    <w:p w:rsidR="00593996" w:rsidRPr="008B1299" w:rsidRDefault="00593996" w:rsidP="00593996">
      <w:pPr>
        <w:pStyle w:val="Default"/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 w:rsidRPr="008B1299">
        <w:rPr>
          <w:rFonts w:ascii="Trebuchet MS" w:hAnsi="Trebuchet MS"/>
          <w:sz w:val="22"/>
          <w:szCs w:val="22"/>
        </w:rPr>
        <w:t>The Scoring Rubric for this end-of-course assignment, developed</w:t>
      </w:r>
      <w:r>
        <w:rPr>
          <w:rFonts w:ascii="Trebuchet MS" w:hAnsi="Trebuchet MS"/>
          <w:sz w:val="22"/>
          <w:szCs w:val="22"/>
        </w:rPr>
        <w:t xml:space="preserve"> by the ASCC</w:t>
      </w:r>
      <w:r w:rsidRPr="008B1299">
        <w:rPr>
          <w:rFonts w:ascii="Trebuchet MS" w:hAnsi="Trebuchet MS"/>
          <w:sz w:val="22"/>
          <w:szCs w:val="22"/>
        </w:rPr>
        <w:t xml:space="preserve"> Assessment Panel </w:t>
      </w:r>
      <w:r>
        <w:rPr>
          <w:rFonts w:ascii="Trebuchet MS" w:hAnsi="Trebuchet MS"/>
          <w:sz w:val="22"/>
          <w:szCs w:val="22"/>
        </w:rPr>
        <w:t>in collaboration with</w:t>
      </w:r>
      <w:r w:rsidRPr="008B1299">
        <w:rPr>
          <w:rFonts w:ascii="Trebuchet MS" w:hAnsi="Trebuchet MS"/>
          <w:sz w:val="22"/>
          <w:szCs w:val="22"/>
        </w:rPr>
        <w:t xml:space="preserve"> the </w:t>
      </w:r>
      <w:r>
        <w:rPr>
          <w:rFonts w:ascii="Trebuchet MS" w:hAnsi="Trebuchet MS"/>
          <w:sz w:val="22"/>
          <w:szCs w:val="22"/>
        </w:rPr>
        <w:t>Service-Learning Initiative</w:t>
      </w:r>
      <w:r w:rsidRPr="008B1299">
        <w:rPr>
          <w:rFonts w:ascii="Trebuchet MS" w:hAnsi="Trebuchet MS"/>
          <w:sz w:val="22"/>
          <w:szCs w:val="22"/>
        </w:rPr>
        <w:t>, is included in the Appendix.</w:t>
      </w:r>
    </w:p>
    <w:p w:rsidR="00593996" w:rsidRDefault="00593996" w:rsidP="00593996">
      <w:pPr>
        <w:pStyle w:val="Default"/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 w:rsidRPr="008B1299">
        <w:rPr>
          <w:rFonts w:ascii="Trebuchet MS" w:hAnsi="Trebuchet MS"/>
          <w:sz w:val="22"/>
          <w:szCs w:val="22"/>
        </w:rPr>
        <w:t xml:space="preserve">Within a month of completing the class, please submit </w:t>
      </w:r>
      <w:r w:rsidR="00B52754" w:rsidRPr="00C16181">
        <w:rPr>
          <w:rFonts w:ascii="Trebuchet MS" w:hAnsi="Trebuchet MS"/>
          <w:sz w:val="22"/>
          <w:szCs w:val="22"/>
        </w:rPr>
        <w:t>a summary of rubric scores using the table provided, one paragraph of instructor reflection</w:t>
      </w:r>
      <w:r w:rsidR="00792525">
        <w:rPr>
          <w:rFonts w:ascii="Trebuchet MS" w:hAnsi="Trebuchet MS"/>
          <w:sz w:val="22"/>
          <w:szCs w:val="22"/>
        </w:rPr>
        <w:t xml:space="preserve"> </w:t>
      </w:r>
      <w:r w:rsidR="00792525" w:rsidRPr="00792525">
        <w:rPr>
          <w:rFonts w:ascii="Trebuchet MS" w:hAnsi="Trebuchet MS"/>
          <w:sz w:val="22"/>
          <w:szCs w:val="22"/>
        </w:rPr>
        <w:t xml:space="preserve">(which may include instructor’s explanation of student scores, qualitative analysis of student growth and development, changes to be made in the course, </w:t>
      </w:r>
      <w:r w:rsidR="004A2E2A" w:rsidRPr="004A2E2A">
        <w:rPr>
          <w:rFonts w:ascii="Trebuchet MS" w:hAnsi="Trebuchet MS"/>
          <w:i/>
          <w:sz w:val="22"/>
          <w:szCs w:val="22"/>
        </w:rPr>
        <w:t>etc.</w:t>
      </w:r>
      <w:r w:rsidR="00792525" w:rsidRPr="00792525">
        <w:rPr>
          <w:rFonts w:ascii="Trebuchet MS" w:hAnsi="Trebuchet MS"/>
          <w:sz w:val="22"/>
          <w:szCs w:val="22"/>
        </w:rPr>
        <w:t>)</w:t>
      </w:r>
      <w:r w:rsidR="00B52754" w:rsidRPr="00C16181">
        <w:rPr>
          <w:rFonts w:ascii="Trebuchet MS" w:hAnsi="Trebuchet MS"/>
          <w:sz w:val="22"/>
          <w:szCs w:val="22"/>
        </w:rPr>
        <w:t>, and three sample assignments (one low score, one average score, and one high score)</w:t>
      </w:r>
      <w:r w:rsidRPr="008B1299">
        <w:rPr>
          <w:rFonts w:ascii="Trebuchet MS" w:hAnsi="Trebuchet MS"/>
          <w:sz w:val="22"/>
          <w:szCs w:val="22"/>
        </w:rPr>
        <w:t xml:space="preserve">to the ASC Curriculum and Assessment Services electronically (keep copies for your own and your department’s records). </w:t>
      </w:r>
    </w:p>
    <w:p w:rsidR="00593996" w:rsidRDefault="00593996" w:rsidP="00593996">
      <w:pPr>
        <w:pStyle w:val="Default"/>
        <w:spacing w:after="120" w:line="360" w:lineRule="auto"/>
        <w:rPr>
          <w:rFonts w:ascii="Trebuchet MS" w:hAnsi="Trebuchet MS"/>
          <w:b/>
          <w:sz w:val="22"/>
          <w:szCs w:val="22"/>
        </w:rPr>
      </w:pPr>
    </w:p>
    <w:p w:rsidR="00593996" w:rsidRPr="008B1299" w:rsidRDefault="00B52754" w:rsidP="00593996">
      <w:pPr>
        <w:pStyle w:val="Default"/>
        <w:spacing w:after="120" w:line="360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Further details about end-of-course assignment: </w:t>
      </w:r>
    </w:p>
    <w:p w:rsidR="00593996" w:rsidRPr="008B1299" w:rsidRDefault="00593996" w:rsidP="00593996">
      <w:pPr>
        <w:spacing w:after="120" w:line="360" w:lineRule="auto"/>
        <w:rPr>
          <w:rFonts w:ascii="Trebuchet MS" w:hAnsi="Trebuchet MS"/>
        </w:rPr>
      </w:pPr>
      <w:r w:rsidRPr="008B1299">
        <w:rPr>
          <w:rFonts w:ascii="Trebuchet MS" w:hAnsi="Trebuchet MS"/>
        </w:rPr>
        <w:t xml:space="preserve">All instructors of GE </w:t>
      </w:r>
      <w:r>
        <w:rPr>
          <w:rFonts w:ascii="Trebuchet MS" w:hAnsi="Trebuchet MS"/>
        </w:rPr>
        <w:t>Service-Learning</w:t>
      </w:r>
      <w:r w:rsidRPr="008B1299">
        <w:rPr>
          <w:rFonts w:ascii="Trebuchet MS" w:hAnsi="Trebuchet MS"/>
        </w:rPr>
        <w:t xml:space="preserve"> courses are required to give an end-of-course assignment that measures how well students are achieving the Expected Learning Outcomes.  The point of requiring such an assignment for all GE </w:t>
      </w:r>
      <w:r>
        <w:rPr>
          <w:rFonts w:ascii="Trebuchet MS" w:hAnsi="Trebuchet MS"/>
        </w:rPr>
        <w:t>Service-Learning</w:t>
      </w:r>
      <w:r w:rsidRPr="008B1299">
        <w:rPr>
          <w:rFonts w:ascii="Trebuchet MS" w:hAnsi="Trebuchet MS"/>
        </w:rPr>
        <w:t xml:space="preserve"> courses is to help university committees evaluate the effectiveness of the GE </w:t>
      </w:r>
      <w:r>
        <w:rPr>
          <w:rFonts w:ascii="Trebuchet MS" w:hAnsi="Trebuchet MS"/>
        </w:rPr>
        <w:t>Service-Learning</w:t>
      </w:r>
      <w:r w:rsidRPr="008B1299">
        <w:rPr>
          <w:rFonts w:ascii="Trebuchet MS" w:hAnsi="Trebuchet MS"/>
        </w:rPr>
        <w:t xml:space="preserve"> Category as a whole, and as a new option in the GE.   </w:t>
      </w:r>
    </w:p>
    <w:p w:rsidR="00593996" w:rsidRPr="008B1299" w:rsidRDefault="00593996" w:rsidP="00593996">
      <w:pPr>
        <w:spacing w:after="120" w:line="360" w:lineRule="auto"/>
        <w:rPr>
          <w:rFonts w:ascii="Trebuchet MS" w:hAnsi="Trebuchet MS"/>
        </w:rPr>
      </w:pPr>
      <w:r w:rsidRPr="008B1299">
        <w:rPr>
          <w:rFonts w:ascii="Trebuchet MS" w:hAnsi="Trebuchet MS"/>
        </w:rPr>
        <w:t xml:space="preserve">The assignment should assess </w:t>
      </w:r>
      <w:r w:rsidRPr="008B1299">
        <w:rPr>
          <w:rFonts w:ascii="Trebuchet MS" w:hAnsi="Trebuchet MS"/>
          <w:i/>
        </w:rPr>
        <w:t>all three</w:t>
      </w:r>
      <w:r w:rsidRPr="008B1299">
        <w:rPr>
          <w:rFonts w:ascii="Trebuchet MS" w:hAnsi="Trebuchet MS"/>
        </w:rPr>
        <w:t xml:space="preserve"> of the </w:t>
      </w:r>
      <w:r>
        <w:rPr>
          <w:rFonts w:ascii="Trebuchet MS" w:hAnsi="Trebuchet MS"/>
        </w:rPr>
        <w:t>Service-Learning</w:t>
      </w:r>
      <w:r w:rsidRPr="008B1299">
        <w:rPr>
          <w:rFonts w:ascii="Trebuchet MS" w:hAnsi="Trebuchet MS"/>
        </w:rPr>
        <w:t xml:space="preserve"> ELOs.  Here is an example of a prompt for an end-of-course student reflection paper:</w:t>
      </w:r>
    </w:p>
    <w:p w:rsidR="00593996" w:rsidRPr="008B1299" w:rsidRDefault="00593996" w:rsidP="00593996">
      <w:pPr>
        <w:spacing w:after="120" w:line="360" w:lineRule="auto"/>
        <w:rPr>
          <w:rFonts w:ascii="Trebuchet MS" w:hAnsi="Trebuchet MS"/>
        </w:rPr>
      </w:pPr>
      <w:r w:rsidRPr="008B1299">
        <w:rPr>
          <w:rFonts w:ascii="Trebuchet MS" w:hAnsi="Trebuchet MS"/>
        </w:rPr>
        <w:t xml:space="preserve">Please write a thoughtful four-page (double-spaced, typed) reflection paper that considers the following aspects of your </w:t>
      </w:r>
      <w:r>
        <w:rPr>
          <w:rFonts w:ascii="Trebuchet MS" w:hAnsi="Trebuchet MS"/>
        </w:rPr>
        <w:t>Service-Learning</w:t>
      </w:r>
      <w:r w:rsidRPr="008B1299">
        <w:rPr>
          <w:rFonts w:ascii="Trebuchet MS" w:hAnsi="Trebuchet MS"/>
        </w:rPr>
        <w:t xml:space="preserve"> experience: </w:t>
      </w:r>
    </w:p>
    <w:p w:rsidR="00593996" w:rsidRPr="008B1299" w:rsidRDefault="00593996" w:rsidP="00AB1348">
      <w:pPr>
        <w:numPr>
          <w:ilvl w:val="0"/>
          <w:numId w:val="7"/>
        </w:numPr>
        <w:spacing w:after="120" w:line="360" w:lineRule="auto"/>
        <w:rPr>
          <w:rFonts w:ascii="Trebuchet MS" w:hAnsi="Trebuchet MS"/>
        </w:rPr>
      </w:pPr>
      <w:r>
        <w:rPr>
          <w:rFonts w:ascii="Trebuchet MS" w:hAnsi="Trebuchet MS"/>
        </w:rPr>
        <w:t>How are the concepts and skills that you have learned in an academic setting connected to your community-based work?</w:t>
      </w:r>
    </w:p>
    <w:p w:rsidR="00593996" w:rsidRPr="008B1299" w:rsidRDefault="00593996" w:rsidP="00810426">
      <w:pPr>
        <w:numPr>
          <w:ilvl w:val="0"/>
          <w:numId w:val="7"/>
        </w:num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Demonstrate your understanding of the issues, resources, assets, and cultures of the community in which you worked.</w:t>
      </w:r>
    </w:p>
    <w:p w:rsidR="00A22A3B" w:rsidRDefault="00593996" w:rsidP="00A22A3B">
      <w:pPr>
        <w:numPr>
          <w:ilvl w:val="0"/>
          <w:numId w:val="7"/>
        </w:numPr>
        <w:spacing w:after="12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Evaluate the impacts of the service-learning activity. </w:t>
      </w:r>
      <w:r w:rsidRPr="008B1299">
        <w:rPr>
          <w:rFonts w:ascii="Trebuchet MS" w:hAnsi="Trebuchet MS"/>
        </w:rPr>
        <w:t>Use concrete examples.</w:t>
      </w:r>
    </w:p>
    <w:tbl>
      <w:tblPr>
        <w:tblpPr w:leftFromText="180" w:rightFromText="180" w:vertAnchor="page" w:horzAnchor="margin" w:tblpXSpec="right" w:tblpY="413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2142"/>
        <w:gridCol w:w="2160"/>
        <w:gridCol w:w="2178"/>
        <w:gridCol w:w="1728"/>
      </w:tblGrid>
      <w:tr w:rsidR="00AB1348" w:rsidRPr="00951221" w:rsidTr="00AB1348">
        <w:trPr>
          <w:trHeight w:val="711"/>
        </w:trPr>
        <w:tc>
          <w:tcPr>
            <w:tcW w:w="2340" w:type="dxa"/>
          </w:tcPr>
          <w:p w:rsidR="00AB1348" w:rsidRDefault="00AB1348" w:rsidP="00AB1348">
            <w:pPr>
              <w:spacing w:after="0" w:line="240" w:lineRule="auto"/>
            </w:pPr>
          </w:p>
        </w:tc>
        <w:tc>
          <w:tcPr>
            <w:tcW w:w="2142" w:type="dxa"/>
          </w:tcPr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Capstone</w:t>
            </w:r>
          </w:p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(4)</w:t>
            </w:r>
          </w:p>
        </w:tc>
        <w:tc>
          <w:tcPr>
            <w:tcW w:w="2160" w:type="dxa"/>
          </w:tcPr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 xml:space="preserve">Milestone </w:t>
            </w:r>
          </w:p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(3)</w:t>
            </w:r>
          </w:p>
        </w:tc>
        <w:tc>
          <w:tcPr>
            <w:tcW w:w="2178" w:type="dxa"/>
          </w:tcPr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Milestone</w:t>
            </w:r>
          </w:p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(2)</w:t>
            </w:r>
          </w:p>
        </w:tc>
        <w:tc>
          <w:tcPr>
            <w:tcW w:w="1728" w:type="dxa"/>
          </w:tcPr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 xml:space="preserve">Benchmark </w:t>
            </w:r>
          </w:p>
          <w:p w:rsidR="00AB1348" w:rsidRPr="00951221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(1)</w:t>
            </w:r>
          </w:p>
        </w:tc>
      </w:tr>
      <w:tr w:rsidR="00AB1348" w:rsidTr="00AB1348">
        <w:trPr>
          <w:trHeight w:val="3233"/>
        </w:trPr>
        <w:tc>
          <w:tcPr>
            <w:tcW w:w="2340" w:type="dxa"/>
          </w:tcPr>
          <w:p w:rsidR="00AB1348" w:rsidRPr="00410B82" w:rsidRDefault="00AB1348" w:rsidP="00AB1348">
            <w:pPr>
              <w:pStyle w:val="Default"/>
              <w:rPr>
                <w:sz w:val="22"/>
                <w:szCs w:val="22"/>
              </w:rPr>
            </w:pPr>
            <w:r w:rsidRPr="00410B82">
              <w:rPr>
                <w:b/>
                <w:bCs/>
                <w:sz w:val="22"/>
                <w:szCs w:val="22"/>
              </w:rPr>
              <w:t xml:space="preserve">(ELO1) </w:t>
            </w:r>
          </w:p>
          <w:p w:rsidR="00AB1348" w:rsidRDefault="00AB1348" w:rsidP="00AB1348">
            <w:pPr>
              <w:pStyle w:val="Default"/>
            </w:pPr>
          </w:p>
          <w:p w:rsidR="00AB1348" w:rsidRPr="001A607B" w:rsidRDefault="00AB1348" w:rsidP="00AB1348">
            <w:pPr>
              <w:pStyle w:val="Default"/>
              <w:rPr>
                <w:b/>
              </w:rPr>
            </w:pPr>
            <w:r w:rsidRPr="001A607B">
              <w:rPr>
                <w:b/>
              </w:rPr>
              <w:t xml:space="preserve">Students make connections between concepts and skills learned in an academic setting and community-based work </w:t>
            </w:r>
          </w:p>
        </w:tc>
        <w:tc>
          <w:tcPr>
            <w:tcW w:w="2142" w:type="dxa"/>
          </w:tcPr>
          <w:p w:rsidR="00AB1348" w:rsidRPr="00FA4529" w:rsidRDefault="00AB1348" w:rsidP="00AB1348">
            <w:pPr>
              <w:spacing w:after="0" w:line="240" w:lineRule="auto"/>
            </w:pPr>
          </w:p>
          <w:p w:rsidR="00AB1348" w:rsidRPr="00FA4529" w:rsidRDefault="00AB1348" w:rsidP="00AB1348">
            <w:pPr>
              <w:spacing w:after="0" w:line="240" w:lineRule="auto"/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>Connects</w:t>
            </w:r>
            <w:r>
              <w:rPr>
                <w:rFonts w:ascii="Times New Roman" w:eastAsia="MS Mincho" w:hAnsi="Times New Roman"/>
                <w:iCs/>
                <w:color w:val="000000"/>
              </w:rPr>
              <w:t>, analyzes,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 and extends knowledge (facts, theories, etc.) from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course content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>to Service Learning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activity. </w:t>
            </w:r>
          </w:p>
        </w:tc>
        <w:tc>
          <w:tcPr>
            <w:tcW w:w="2160" w:type="dxa"/>
          </w:tcPr>
          <w:p w:rsidR="00AB1348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>
              <w:rPr>
                <w:rFonts w:ascii="Times New Roman" w:eastAsia="MS Mincho" w:hAnsi="Times New Roman"/>
                <w:iCs/>
                <w:color w:val="000000"/>
              </w:rPr>
              <w:t>Connects and a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nalyzes knowledge (facts, theories, etc.) from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course content to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>Service Learning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activity. </w:t>
            </w:r>
          </w:p>
        </w:tc>
        <w:tc>
          <w:tcPr>
            <w:tcW w:w="2178" w:type="dxa"/>
          </w:tcPr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Begins to connect knowledge (facts, theories, etc.) from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course content to Service Learning activity. </w:t>
            </w:r>
          </w:p>
        </w:tc>
        <w:tc>
          <w:tcPr>
            <w:tcW w:w="1728" w:type="dxa"/>
          </w:tcPr>
          <w:p w:rsidR="00AB1348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Student expresses a limited, unclear connection of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course content to Service Learning activity.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 </w:t>
            </w: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</w:tc>
      </w:tr>
      <w:tr w:rsidR="00AB1348" w:rsidTr="00AB1348">
        <w:trPr>
          <w:trHeight w:val="2954"/>
        </w:trPr>
        <w:tc>
          <w:tcPr>
            <w:tcW w:w="2340" w:type="dxa"/>
          </w:tcPr>
          <w:p w:rsidR="00AB1348" w:rsidRPr="0052030F" w:rsidRDefault="00AB1348" w:rsidP="00AB1348">
            <w:pPr>
              <w:pStyle w:val="Default"/>
              <w:rPr>
                <w:sz w:val="22"/>
                <w:szCs w:val="22"/>
              </w:rPr>
            </w:pPr>
            <w:r w:rsidRPr="0052030F">
              <w:rPr>
                <w:b/>
                <w:bCs/>
                <w:sz w:val="22"/>
                <w:szCs w:val="22"/>
              </w:rPr>
              <w:t xml:space="preserve">(ELO2) </w:t>
            </w: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348" w:rsidRPr="001A607B" w:rsidRDefault="00AB1348" w:rsidP="00AB13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607B">
              <w:rPr>
                <w:rFonts w:ascii="Times New Roman" w:hAnsi="Times New Roman"/>
                <w:b/>
              </w:rPr>
              <w:t>Students demonstrate an understanding of the issues, resources, assets</w:t>
            </w:r>
            <w:r>
              <w:rPr>
                <w:rFonts w:ascii="Times New Roman" w:hAnsi="Times New Roman"/>
                <w:b/>
              </w:rPr>
              <w:t>,</w:t>
            </w:r>
            <w:r w:rsidRPr="001A607B">
              <w:rPr>
                <w:rFonts w:ascii="Times New Roman" w:hAnsi="Times New Roman"/>
                <w:b/>
              </w:rPr>
              <w:t xml:space="preserve"> and cultures of the community in which they are working. </w:t>
            </w:r>
          </w:p>
        </w:tc>
        <w:tc>
          <w:tcPr>
            <w:tcW w:w="2142" w:type="dxa"/>
          </w:tcPr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  <w:r w:rsidRPr="00FA4529">
              <w:rPr>
                <w:rFonts w:ascii="Times New Roman" w:eastAsia="MS Mincho" w:hAnsi="Times New Roman"/>
                <w:iCs/>
              </w:rPr>
              <w:t xml:space="preserve">Articulates a thorough </w:t>
            </w:r>
            <w:r>
              <w:rPr>
                <w:rFonts w:ascii="Times New Roman" w:eastAsia="MS Mincho" w:hAnsi="Times New Roman"/>
                <w:iCs/>
              </w:rPr>
              <w:t xml:space="preserve">and complex </w:t>
            </w:r>
            <w:r w:rsidRPr="00FA4529">
              <w:rPr>
                <w:rFonts w:ascii="Times New Roman" w:eastAsia="MS Mincho" w:hAnsi="Times New Roman"/>
                <w:iCs/>
              </w:rPr>
              <w:t xml:space="preserve">understanding of the issues, resources, assets, and cultures of the community in which they are working. </w:t>
            </w:r>
          </w:p>
          <w:p w:rsidR="00AB1348" w:rsidRPr="00FA4529" w:rsidRDefault="00AB1348" w:rsidP="00AB1348">
            <w:pPr>
              <w:pStyle w:val="Default"/>
              <w:rPr>
                <w:iCs/>
                <w:color w:val="auto"/>
                <w:sz w:val="22"/>
                <w:szCs w:val="22"/>
                <w:highlight w:val="yellow"/>
              </w:rPr>
            </w:pPr>
            <w:r w:rsidRPr="00FA4529">
              <w:rPr>
                <w:iCs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60" w:type="dxa"/>
          </w:tcPr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  <w:r>
              <w:rPr>
                <w:rFonts w:ascii="Times New Roman" w:eastAsia="MS Mincho" w:hAnsi="Times New Roman"/>
                <w:iCs/>
              </w:rPr>
              <w:t>Identifies and clearly understands</w:t>
            </w:r>
            <w:r w:rsidRPr="00FA4529">
              <w:rPr>
                <w:rFonts w:ascii="Times New Roman" w:eastAsia="MS Mincho" w:hAnsi="Times New Roman"/>
                <w:iCs/>
              </w:rPr>
              <w:t xml:space="preserve"> the issues, resources, assets, and cultures of the community in which they are working. </w:t>
            </w:r>
          </w:p>
        </w:tc>
        <w:tc>
          <w:tcPr>
            <w:tcW w:w="2178" w:type="dxa"/>
          </w:tcPr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  <w:r w:rsidRPr="00FA4529">
              <w:rPr>
                <w:rFonts w:ascii="Times New Roman" w:eastAsia="MS Mincho" w:hAnsi="Times New Roman"/>
                <w:iCs/>
              </w:rPr>
              <w:t>Identifies the issues, resources, assets, and culture</w:t>
            </w:r>
            <w:r>
              <w:rPr>
                <w:rFonts w:ascii="Times New Roman" w:eastAsia="MS Mincho" w:hAnsi="Times New Roman"/>
                <w:iCs/>
              </w:rPr>
              <w:t>s of the community in which they are working</w:t>
            </w:r>
            <w:r w:rsidRPr="00FA4529">
              <w:rPr>
                <w:rFonts w:ascii="Times New Roman" w:eastAsia="MS Mincho" w:hAnsi="Times New Roman"/>
                <w:iCs/>
              </w:rPr>
              <w:t xml:space="preserve">.  </w:t>
            </w: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  <w:r w:rsidRPr="00FA4529">
              <w:rPr>
                <w:rFonts w:ascii="Times New Roman" w:eastAsia="MS Mincho" w:hAnsi="Times New Roman"/>
                <w:iCs/>
                <w:highlight w:val="yellow"/>
              </w:rPr>
              <w:t xml:space="preserve"> </w:t>
            </w:r>
          </w:p>
        </w:tc>
        <w:tc>
          <w:tcPr>
            <w:tcW w:w="1728" w:type="dxa"/>
          </w:tcPr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  <w:r w:rsidRPr="00FA4529">
              <w:rPr>
                <w:rFonts w:ascii="Times New Roman" w:eastAsia="MS Mincho" w:hAnsi="Times New Roman"/>
                <w:iCs/>
              </w:rPr>
              <w:t xml:space="preserve">Shows minimal awareness of the issues, resources, assets and cultures of the community in which they are working. </w:t>
            </w: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</w:tc>
      </w:tr>
      <w:tr w:rsidR="00AB1348" w:rsidTr="00AB1348">
        <w:trPr>
          <w:trHeight w:val="3494"/>
        </w:trPr>
        <w:tc>
          <w:tcPr>
            <w:tcW w:w="2340" w:type="dxa"/>
          </w:tcPr>
          <w:p w:rsidR="00AB1348" w:rsidRDefault="00AB1348" w:rsidP="00AB13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2030F">
              <w:rPr>
                <w:b/>
                <w:bCs/>
                <w:sz w:val="22"/>
                <w:szCs w:val="22"/>
              </w:rPr>
              <w:t xml:space="preserve">(ELO3) </w:t>
            </w:r>
          </w:p>
          <w:p w:rsidR="00AB1348" w:rsidRDefault="00AB1348" w:rsidP="00AB134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B1348" w:rsidRDefault="00AB1348" w:rsidP="00AB13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Students evaluate the impacts of the service learning activity. </w:t>
            </w:r>
          </w:p>
          <w:p w:rsidR="00AB1348" w:rsidRPr="00AB1348" w:rsidRDefault="00AB1348" w:rsidP="00AB134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AB1348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Student thoroughly </w:t>
            </w:r>
            <w:r>
              <w:rPr>
                <w:rFonts w:ascii="Times New Roman" w:eastAsia="MS Mincho" w:hAnsi="Times New Roman"/>
                <w:iCs/>
                <w:color w:val="000000"/>
              </w:rPr>
              <w:t>evaluates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 the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impacts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of the Service Learning experience on themselves, the organization, and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also considers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>the long term impact of the work on the community.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AB1348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Student evaluates the </w:t>
            </w:r>
            <w:r>
              <w:rPr>
                <w:rFonts w:ascii="Times New Roman" w:eastAsia="MS Mincho" w:hAnsi="Times New Roman"/>
                <w:iCs/>
                <w:color w:val="000000"/>
              </w:rPr>
              <w:t>impacts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 of the Service Learning experience on themselves and the contributions that they made to the goals and aims of the organization.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</w:t>
            </w:r>
          </w:p>
        </w:tc>
        <w:tc>
          <w:tcPr>
            <w:tcW w:w="2178" w:type="dxa"/>
          </w:tcPr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Student evaluates the 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impacts 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>of the Service Learning experience on themselves.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</w:t>
            </w:r>
          </w:p>
        </w:tc>
        <w:tc>
          <w:tcPr>
            <w:tcW w:w="1728" w:type="dxa"/>
          </w:tcPr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52030F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AB1348" w:rsidRPr="00FA4529" w:rsidRDefault="00AB1348" w:rsidP="00AB1348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Student minimally </w:t>
            </w:r>
            <w:r>
              <w:rPr>
                <w:rFonts w:ascii="Times New Roman" w:eastAsia="MS Mincho" w:hAnsi="Times New Roman"/>
                <w:iCs/>
                <w:color w:val="000000"/>
              </w:rPr>
              <w:t>evaluates</w:t>
            </w:r>
            <w:r w:rsidRPr="00FA4529">
              <w:rPr>
                <w:rFonts w:ascii="Times New Roman" w:eastAsia="MS Mincho" w:hAnsi="Times New Roman"/>
                <w:iCs/>
                <w:color w:val="000000"/>
              </w:rPr>
              <w:t xml:space="preserve"> the impacts of the Service Learning experience.</w:t>
            </w:r>
            <w:r>
              <w:rPr>
                <w:rFonts w:ascii="Times New Roman" w:eastAsia="MS Mincho" w:hAnsi="Times New Roman"/>
                <w:iCs/>
                <w:color w:val="000000"/>
              </w:rPr>
              <w:t xml:space="preserve"> </w:t>
            </w:r>
          </w:p>
        </w:tc>
      </w:tr>
    </w:tbl>
    <w:p w:rsidR="00BF7870" w:rsidRPr="00AB1348" w:rsidRDefault="00AB1348" w:rsidP="00AB1348">
      <w:pPr>
        <w:spacing w:after="120" w:line="360" w:lineRule="auto"/>
        <w:ind w:left="-576"/>
        <w:rPr>
          <w:rFonts w:ascii="Trebuchet MS" w:hAnsi="Trebuchet MS"/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9.3pt;margin-top:27.65pt;width:527.05pt;height:98.8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">
            <v:textbox style="mso-next-textbox:#Text Box 2">
              <w:txbxContent>
                <w:p w:rsidR="00810426" w:rsidRDefault="00810426">
                  <w:r>
                    <w:t xml:space="preserve">Assessment of Service Learning GE Courses </w:t>
                  </w:r>
                </w:p>
                <w:p w:rsidR="00810426" w:rsidRDefault="00810426">
                  <w:r>
                    <w:t>This scoring rubric is designed to help instructors and member</w:t>
                  </w:r>
                  <w:r w:rsidR="009159B8">
                    <w:t xml:space="preserve">s </w:t>
                  </w:r>
                  <w:bookmarkStart w:id="0" w:name="_GoBack"/>
                  <w:bookmarkEnd w:id="0"/>
                  <w:r>
                    <w:t xml:space="preserve">of relevant committees assess how well students are meeting the ELOs as reflected in end-of-course reflection assignments. Students are not expected to have acquired all the knowledge, skills, and attitudes/perspectives listed under the various ELOs in order to complete the assignment satisfactorily. At a minimum, students are expected to meet Milestone 2. </w:t>
                  </w:r>
                </w:p>
              </w:txbxContent>
            </v:textbox>
          </v:shape>
        </w:pict>
      </w:r>
      <w:r>
        <w:rPr>
          <w:rFonts w:ascii="Trebuchet MS" w:hAnsi="Trebuchet MS"/>
          <w:i/>
        </w:rPr>
        <w:t xml:space="preserve">  </w:t>
      </w:r>
      <w:r w:rsidR="00A22A3B" w:rsidRPr="00A22A3B">
        <w:rPr>
          <w:rFonts w:ascii="Trebuchet MS" w:hAnsi="Trebuchet MS"/>
          <w:i/>
        </w:rPr>
        <w:t xml:space="preserve">Scoring Rubric: </w:t>
      </w:r>
      <w:r w:rsidR="00BF7870">
        <w:br w:type="page"/>
      </w:r>
    </w:p>
    <w:tbl>
      <w:tblPr>
        <w:tblpPr w:leftFromText="180" w:rightFromText="180" w:vertAnchor="page" w:horzAnchor="margin" w:tblpY="135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2142"/>
        <w:gridCol w:w="2160"/>
        <w:gridCol w:w="2178"/>
        <w:gridCol w:w="1728"/>
      </w:tblGrid>
      <w:tr w:rsidR="00683714" w:rsidRPr="00951221" w:rsidTr="00683714">
        <w:trPr>
          <w:trHeight w:val="711"/>
        </w:trPr>
        <w:tc>
          <w:tcPr>
            <w:tcW w:w="2340" w:type="dxa"/>
          </w:tcPr>
          <w:p w:rsidR="00683714" w:rsidRDefault="00683714" w:rsidP="00683714">
            <w:pPr>
              <w:spacing w:after="0" w:line="240" w:lineRule="auto"/>
            </w:pPr>
          </w:p>
        </w:tc>
        <w:tc>
          <w:tcPr>
            <w:tcW w:w="2142" w:type="dxa"/>
          </w:tcPr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Capstone</w:t>
            </w:r>
          </w:p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(4)</w:t>
            </w:r>
          </w:p>
        </w:tc>
        <w:tc>
          <w:tcPr>
            <w:tcW w:w="2160" w:type="dxa"/>
          </w:tcPr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 xml:space="preserve">Milestone </w:t>
            </w:r>
          </w:p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(3)</w:t>
            </w:r>
          </w:p>
        </w:tc>
        <w:tc>
          <w:tcPr>
            <w:tcW w:w="2178" w:type="dxa"/>
          </w:tcPr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Milestone</w:t>
            </w:r>
          </w:p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(2)</w:t>
            </w:r>
          </w:p>
        </w:tc>
        <w:tc>
          <w:tcPr>
            <w:tcW w:w="1728" w:type="dxa"/>
          </w:tcPr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 xml:space="preserve">Benchmark </w:t>
            </w:r>
          </w:p>
          <w:p w:rsidR="00683714" w:rsidRPr="00951221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(1)</w:t>
            </w:r>
          </w:p>
        </w:tc>
      </w:tr>
      <w:tr w:rsidR="00683714" w:rsidRPr="00FA4529" w:rsidTr="00683714">
        <w:trPr>
          <w:trHeight w:val="2963"/>
        </w:trPr>
        <w:tc>
          <w:tcPr>
            <w:tcW w:w="2340" w:type="dxa"/>
          </w:tcPr>
          <w:p w:rsidR="00683714" w:rsidRPr="00410B82" w:rsidRDefault="00683714" w:rsidP="00683714">
            <w:pPr>
              <w:pStyle w:val="Default"/>
              <w:rPr>
                <w:sz w:val="22"/>
                <w:szCs w:val="22"/>
              </w:rPr>
            </w:pPr>
            <w:r w:rsidRPr="00410B82">
              <w:rPr>
                <w:b/>
                <w:bCs/>
                <w:sz w:val="22"/>
                <w:szCs w:val="22"/>
              </w:rPr>
              <w:t xml:space="preserve">(ELO1) </w:t>
            </w:r>
          </w:p>
          <w:p w:rsidR="00683714" w:rsidRDefault="00683714" w:rsidP="00683714">
            <w:pPr>
              <w:pStyle w:val="Default"/>
            </w:pPr>
          </w:p>
          <w:p w:rsidR="00683714" w:rsidRPr="001A607B" w:rsidRDefault="00683714" w:rsidP="00683714">
            <w:pPr>
              <w:pStyle w:val="Default"/>
              <w:rPr>
                <w:b/>
              </w:rPr>
            </w:pPr>
            <w:r w:rsidRPr="001A607B">
              <w:rPr>
                <w:b/>
              </w:rPr>
              <w:t xml:space="preserve">Students make connections between concepts and skills learned in an academic setting and community-based work </w:t>
            </w:r>
          </w:p>
        </w:tc>
        <w:tc>
          <w:tcPr>
            <w:tcW w:w="2142" w:type="dxa"/>
          </w:tcPr>
          <w:p w:rsidR="00683714" w:rsidRPr="00FA4529" w:rsidRDefault="00683714" w:rsidP="00683714">
            <w:pPr>
              <w:spacing w:after="0" w:line="240" w:lineRule="auto"/>
            </w:pPr>
          </w:p>
          <w:p w:rsidR="00683714" w:rsidRPr="00FA4529" w:rsidRDefault="00683714" w:rsidP="00683714">
            <w:pPr>
              <w:spacing w:after="0" w:line="240" w:lineRule="auto"/>
            </w:pPr>
          </w:p>
        </w:tc>
        <w:tc>
          <w:tcPr>
            <w:tcW w:w="2160" w:type="dxa"/>
          </w:tcPr>
          <w:p w:rsidR="00683714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  <w:tc>
          <w:tcPr>
            <w:tcW w:w="2178" w:type="dxa"/>
          </w:tcPr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  <w:tc>
          <w:tcPr>
            <w:tcW w:w="1728" w:type="dxa"/>
          </w:tcPr>
          <w:p w:rsidR="00683714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  <w:highlight w:val="yellow"/>
              </w:rPr>
            </w:pPr>
          </w:p>
        </w:tc>
      </w:tr>
      <w:tr w:rsidR="00683714" w:rsidRPr="00FA4529" w:rsidTr="00683714">
        <w:trPr>
          <w:trHeight w:val="2954"/>
        </w:trPr>
        <w:tc>
          <w:tcPr>
            <w:tcW w:w="2340" w:type="dxa"/>
          </w:tcPr>
          <w:p w:rsidR="00683714" w:rsidRPr="0052030F" w:rsidRDefault="00683714" w:rsidP="00683714">
            <w:pPr>
              <w:pStyle w:val="Default"/>
              <w:rPr>
                <w:sz w:val="22"/>
                <w:szCs w:val="22"/>
              </w:rPr>
            </w:pPr>
            <w:r w:rsidRPr="0052030F">
              <w:rPr>
                <w:b/>
                <w:bCs/>
                <w:sz w:val="22"/>
                <w:szCs w:val="22"/>
              </w:rPr>
              <w:t xml:space="preserve">(ELO2) </w:t>
            </w: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714" w:rsidRPr="001A607B" w:rsidRDefault="00683714" w:rsidP="006837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607B">
              <w:rPr>
                <w:rFonts w:ascii="Times New Roman" w:hAnsi="Times New Roman"/>
                <w:b/>
              </w:rPr>
              <w:t>Students demonstrate an understanding of the issues, resources, assets</w:t>
            </w:r>
            <w:r>
              <w:rPr>
                <w:rFonts w:ascii="Times New Roman" w:hAnsi="Times New Roman"/>
                <w:b/>
              </w:rPr>
              <w:t>,</w:t>
            </w:r>
            <w:r w:rsidRPr="001A607B">
              <w:rPr>
                <w:rFonts w:ascii="Times New Roman" w:hAnsi="Times New Roman"/>
                <w:b/>
              </w:rPr>
              <w:t xml:space="preserve"> and cultures of the community in which they are working. </w:t>
            </w:r>
          </w:p>
        </w:tc>
        <w:tc>
          <w:tcPr>
            <w:tcW w:w="2142" w:type="dxa"/>
          </w:tcPr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683714" w:rsidRPr="00FA4529" w:rsidRDefault="00683714" w:rsidP="00683714">
            <w:pPr>
              <w:pStyle w:val="Default"/>
              <w:rPr>
                <w:iCs/>
                <w:color w:val="auto"/>
                <w:sz w:val="22"/>
                <w:szCs w:val="22"/>
                <w:highlight w:val="yellow"/>
              </w:rPr>
            </w:pPr>
            <w:r w:rsidRPr="00FA4529">
              <w:rPr>
                <w:iCs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60" w:type="dxa"/>
          </w:tcPr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2178" w:type="dxa"/>
          </w:tcPr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  <w:r w:rsidRPr="00FA4529">
              <w:rPr>
                <w:rFonts w:ascii="Times New Roman" w:eastAsia="MS Mincho" w:hAnsi="Times New Roman"/>
                <w:iCs/>
                <w:highlight w:val="yellow"/>
              </w:rPr>
              <w:t xml:space="preserve"> </w:t>
            </w:r>
          </w:p>
        </w:tc>
        <w:tc>
          <w:tcPr>
            <w:tcW w:w="1728" w:type="dxa"/>
          </w:tcPr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highlight w:val="yellow"/>
              </w:rPr>
            </w:pPr>
          </w:p>
        </w:tc>
      </w:tr>
      <w:tr w:rsidR="00683714" w:rsidRPr="00FA4529" w:rsidTr="00683714">
        <w:trPr>
          <w:trHeight w:val="2774"/>
        </w:trPr>
        <w:tc>
          <w:tcPr>
            <w:tcW w:w="2340" w:type="dxa"/>
          </w:tcPr>
          <w:p w:rsidR="00683714" w:rsidRDefault="00683714" w:rsidP="006837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2030F">
              <w:rPr>
                <w:b/>
                <w:bCs/>
                <w:sz w:val="22"/>
                <w:szCs w:val="22"/>
              </w:rPr>
              <w:t xml:space="preserve">(ELO3) </w:t>
            </w:r>
          </w:p>
          <w:p w:rsidR="00683714" w:rsidRDefault="00683714" w:rsidP="0068371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3714" w:rsidRDefault="00683714" w:rsidP="0068371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Students evaluate the impacts of the service learning activity. </w:t>
            </w:r>
          </w:p>
          <w:p w:rsidR="00683714" w:rsidRPr="00AB1348" w:rsidRDefault="00683714" w:rsidP="0068371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AB1348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  <w:tc>
          <w:tcPr>
            <w:tcW w:w="2160" w:type="dxa"/>
          </w:tcPr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AB1348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  <w:tc>
          <w:tcPr>
            <w:tcW w:w="2178" w:type="dxa"/>
          </w:tcPr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  <w:tc>
          <w:tcPr>
            <w:tcW w:w="1728" w:type="dxa"/>
          </w:tcPr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52030F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  <w:p w:rsidR="00683714" w:rsidRPr="00FA4529" w:rsidRDefault="00683714" w:rsidP="00683714">
            <w:pPr>
              <w:spacing w:after="0" w:line="240" w:lineRule="auto"/>
              <w:rPr>
                <w:rFonts w:ascii="Times New Roman" w:eastAsia="MS Mincho" w:hAnsi="Times New Roman"/>
                <w:iCs/>
                <w:color w:val="000000"/>
              </w:rPr>
            </w:pPr>
          </w:p>
        </w:tc>
      </w:tr>
    </w:tbl>
    <w:p w:rsidR="00B52754" w:rsidRPr="00EC1A31" w:rsidRDefault="00B52754" w:rsidP="00BF7870"/>
    <w:sectPr w:rsidR="00B52754" w:rsidRPr="00EC1A31" w:rsidSect="00AB134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3E" w:rsidRDefault="0003283E" w:rsidP="00EC1A31">
      <w:pPr>
        <w:spacing w:after="0" w:line="240" w:lineRule="auto"/>
      </w:pPr>
      <w:r>
        <w:separator/>
      </w:r>
    </w:p>
  </w:endnote>
  <w:endnote w:type="continuationSeparator" w:id="0">
    <w:p w:rsidR="0003283E" w:rsidRDefault="0003283E" w:rsidP="00EC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3E" w:rsidRDefault="0003283E" w:rsidP="00EC1A31">
      <w:pPr>
        <w:spacing w:after="0" w:line="240" w:lineRule="auto"/>
      </w:pPr>
      <w:r>
        <w:separator/>
      </w:r>
    </w:p>
  </w:footnote>
  <w:footnote w:type="continuationSeparator" w:id="0">
    <w:p w:rsidR="0003283E" w:rsidRDefault="0003283E" w:rsidP="00EC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D9E"/>
    <w:multiLevelType w:val="hybridMultilevel"/>
    <w:tmpl w:val="78DAAFB2"/>
    <w:lvl w:ilvl="0" w:tplc="17DE28A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2B73"/>
    <w:multiLevelType w:val="hybridMultilevel"/>
    <w:tmpl w:val="4E94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4350B"/>
    <w:multiLevelType w:val="hybridMultilevel"/>
    <w:tmpl w:val="3A3EA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A62C1"/>
    <w:multiLevelType w:val="hybridMultilevel"/>
    <w:tmpl w:val="B2A8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D30AE"/>
    <w:multiLevelType w:val="hybridMultilevel"/>
    <w:tmpl w:val="504E2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F06D8"/>
    <w:multiLevelType w:val="hybridMultilevel"/>
    <w:tmpl w:val="897A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D0645"/>
    <w:multiLevelType w:val="hybridMultilevel"/>
    <w:tmpl w:val="C060AF7E"/>
    <w:lvl w:ilvl="0" w:tplc="02EA113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3996"/>
    <w:rsid w:val="0003283E"/>
    <w:rsid w:val="00067542"/>
    <w:rsid w:val="002627F8"/>
    <w:rsid w:val="002C6369"/>
    <w:rsid w:val="00300E9B"/>
    <w:rsid w:val="004A2E2A"/>
    <w:rsid w:val="00593996"/>
    <w:rsid w:val="00683714"/>
    <w:rsid w:val="00792525"/>
    <w:rsid w:val="00810426"/>
    <w:rsid w:val="00836721"/>
    <w:rsid w:val="009159B8"/>
    <w:rsid w:val="00A22A3B"/>
    <w:rsid w:val="00AB1348"/>
    <w:rsid w:val="00B52754"/>
    <w:rsid w:val="00B67CF8"/>
    <w:rsid w:val="00BF7870"/>
    <w:rsid w:val="00C16181"/>
    <w:rsid w:val="00E33E61"/>
    <w:rsid w:val="00EC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2A"/>
  </w:style>
  <w:style w:type="paragraph" w:styleId="Heading1">
    <w:name w:val="heading 1"/>
    <w:basedOn w:val="Normal"/>
    <w:next w:val="Normal"/>
    <w:link w:val="Heading1Char"/>
    <w:uiPriority w:val="9"/>
    <w:qFormat/>
    <w:rsid w:val="00593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93996"/>
    <w:pPr>
      <w:ind w:left="720"/>
      <w:contextualSpacing/>
    </w:pPr>
  </w:style>
  <w:style w:type="paragraph" w:customStyle="1" w:styleId="Default">
    <w:name w:val="Default"/>
    <w:rsid w:val="00593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A31"/>
  </w:style>
  <w:style w:type="paragraph" w:styleId="Footer">
    <w:name w:val="footer"/>
    <w:basedOn w:val="Normal"/>
    <w:link w:val="FooterChar"/>
    <w:uiPriority w:val="99"/>
    <w:semiHidden/>
    <w:unhideWhenUsed/>
    <w:rsid w:val="00EC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A31"/>
  </w:style>
  <w:style w:type="paragraph" w:styleId="BalloonText">
    <w:name w:val="Balloon Text"/>
    <w:basedOn w:val="Normal"/>
    <w:link w:val="BalloonTextChar"/>
    <w:uiPriority w:val="99"/>
    <w:semiHidden/>
    <w:unhideWhenUsed/>
    <w:rsid w:val="00B5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5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93996"/>
    <w:pPr>
      <w:ind w:left="720"/>
      <w:contextualSpacing/>
    </w:pPr>
  </w:style>
  <w:style w:type="paragraph" w:customStyle="1" w:styleId="Default">
    <w:name w:val="Default"/>
    <w:rsid w:val="00593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A31"/>
  </w:style>
  <w:style w:type="paragraph" w:styleId="Footer">
    <w:name w:val="footer"/>
    <w:basedOn w:val="Normal"/>
    <w:link w:val="FooterChar"/>
    <w:uiPriority w:val="99"/>
    <w:semiHidden/>
    <w:unhideWhenUsed/>
    <w:rsid w:val="00EC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A31"/>
  </w:style>
  <w:style w:type="paragraph" w:styleId="BalloonText">
    <w:name w:val="Balloon Text"/>
    <w:basedOn w:val="Normal"/>
    <w:link w:val="BalloonTextChar"/>
    <w:uiPriority w:val="99"/>
    <w:semiHidden/>
    <w:unhideWhenUsed/>
    <w:rsid w:val="00B5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5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4FAC-34B2-4D97-A32E-4E77E566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6</cp:revision>
  <cp:lastPrinted>2012-11-08T17:46:00Z</cp:lastPrinted>
  <dcterms:created xsi:type="dcterms:W3CDTF">2012-11-21T18:23:00Z</dcterms:created>
  <dcterms:modified xsi:type="dcterms:W3CDTF">2012-11-21T19:22:00Z</dcterms:modified>
</cp:coreProperties>
</file>